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493" w:rsidRPr="0062497F" w:rsidRDefault="0062497F">
      <w:pPr>
        <w:rPr>
          <w:b/>
        </w:rPr>
      </w:pPr>
      <w:bookmarkStart w:id="0" w:name="_GoBack"/>
      <w:bookmarkEnd w:id="0"/>
      <w:r w:rsidRPr="0062497F">
        <w:rPr>
          <w:b/>
        </w:rPr>
        <w:t xml:space="preserve">Príloha č. </w:t>
      </w:r>
      <w:r w:rsidR="00211E46">
        <w:rPr>
          <w:b/>
        </w:rPr>
        <w:t>2</w:t>
      </w:r>
    </w:p>
    <w:p w:rsidR="0062497F" w:rsidRDefault="0062497F" w:rsidP="0062497F">
      <w:pPr>
        <w:spacing w:after="120"/>
      </w:pPr>
      <w:r>
        <w:t>Podiel jednotlivých krajov na výbere dane z príjmov FO a prerozdelenie výberu medzi jednotlivé kraje v roku 2013</w:t>
      </w:r>
    </w:p>
    <w:p w:rsidR="0062497F" w:rsidRDefault="00901F61">
      <w:r>
        <w:rPr>
          <w:noProof/>
          <w:lang w:eastAsia="sk-SK"/>
        </w:rPr>
        <w:drawing>
          <wp:inline distT="0" distB="0" distL="0" distR="0" wp14:anchorId="5ED71AC0" wp14:editId="39379AE1">
            <wp:extent cx="8943975" cy="5076825"/>
            <wp:effectExtent l="0" t="0" r="9525" b="9525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62497F" w:rsidSect="0062497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97F"/>
    <w:rsid w:val="00211E46"/>
    <w:rsid w:val="0062497F"/>
    <w:rsid w:val="00656493"/>
    <w:rsid w:val="007269A4"/>
    <w:rsid w:val="0078344E"/>
    <w:rsid w:val="007A3122"/>
    <w:rsid w:val="00901F61"/>
    <w:rsid w:val="00D87248"/>
    <w:rsid w:val="00E62C7D"/>
    <w:rsid w:val="00E7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24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249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24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249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Marek\VUC\DPFO\Prepo&#269;et%20DPFO%20201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Hárok2!$B$23</c:f>
              <c:strCache>
                <c:ptCount val="1"/>
                <c:pt idx="0">
                  <c:v>Podiel na výnose DPFO</c:v>
                </c:pt>
              </c:strCache>
            </c:strRef>
          </c:tx>
          <c:invertIfNegative val="0"/>
          <c:dLbls>
            <c:dLbl>
              <c:idx val="1"/>
              <c:layout>
                <c:manualLayout>
                  <c:x val="-9.9396521121761002E-3"/>
                  <c:y val="2.501563477173141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2779552715654952E-2"/>
                  <c:y val="7.504690431519699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5197018104366355E-3"/>
                  <c:y val="5.003126954346374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8.5197018104366355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7.099751508697196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7.099751508697196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8.5197018104366355E-3"/>
                  <c:y val="5.003126954346374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Hárok2!$A$24:$A$31</c:f>
              <c:strCache>
                <c:ptCount val="8"/>
                <c:pt idx="0">
                  <c:v>BA</c:v>
                </c:pt>
                <c:pt idx="1">
                  <c:v>TT</c:v>
                </c:pt>
                <c:pt idx="2">
                  <c:v>TN</c:v>
                </c:pt>
                <c:pt idx="3">
                  <c:v>NR</c:v>
                </c:pt>
                <c:pt idx="4">
                  <c:v>ZA</c:v>
                </c:pt>
                <c:pt idx="5">
                  <c:v>BB</c:v>
                </c:pt>
                <c:pt idx="6">
                  <c:v>PO</c:v>
                </c:pt>
                <c:pt idx="7">
                  <c:v>KE</c:v>
                </c:pt>
              </c:strCache>
            </c:strRef>
          </c:cat>
          <c:val>
            <c:numRef>
              <c:f>Hárok2!$B$24:$B$31</c:f>
              <c:numCache>
                <c:formatCode>#\ ##0</c:formatCode>
                <c:ptCount val="8"/>
                <c:pt idx="0">
                  <c:v>199823.34974754672</c:v>
                </c:pt>
                <c:pt idx="1">
                  <c:v>32175.715841949699</c:v>
                </c:pt>
                <c:pt idx="2">
                  <c:v>31400.011890281319</c:v>
                </c:pt>
                <c:pt idx="3">
                  <c:v>30106.564112563221</c:v>
                </c:pt>
                <c:pt idx="4">
                  <c:v>32289.436282350413</c:v>
                </c:pt>
                <c:pt idx="5">
                  <c:v>28463.571850505927</c:v>
                </c:pt>
                <c:pt idx="6">
                  <c:v>19799.885816183727</c:v>
                </c:pt>
                <c:pt idx="7">
                  <c:v>36901.464458619012</c:v>
                </c:pt>
              </c:numCache>
            </c:numRef>
          </c:val>
        </c:ser>
        <c:ser>
          <c:idx val="1"/>
          <c:order val="1"/>
          <c:tx>
            <c:strRef>
              <c:f>Hárok2!$C$23</c:f>
              <c:strCache>
                <c:ptCount val="1"/>
                <c:pt idx="0">
                  <c:v>Podiel na rozdelení výnosu DPFO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9.9396521121760742E-3"/>
                  <c:y val="9.1722934571851356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8399006034788782E-3"/>
                  <c:y val="7.504690431519699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-1.250781738586616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Hárok2!$A$24:$A$31</c:f>
              <c:strCache>
                <c:ptCount val="8"/>
                <c:pt idx="0">
                  <c:v>BA</c:v>
                </c:pt>
                <c:pt idx="1">
                  <c:v>TT</c:v>
                </c:pt>
                <c:pt idx="2">
                  <c:v>TN</c:v>
                </c:pt>
                <c:pt idx="3">
                  <c:v>NR</c:v>
                </c:pt>
                <c:pt idx="4">
                  <c:v>ZA</c:v>
                </c:pt>
                <c:pt idx="5">
                  <c:v>BB</c:v>
                </c:pt>
                <c:pt idx="6">
                  <c:v>PO</c:v>
                </c:pt>
                <c:pt idx="7">
                  <c:v>KE</c:v>
                </c:pt>
              </c:strCache>
            </c:strRef>
          </c:cat>
          <c:val>
            <c:numRef>
              <c:f>Hárok2!$C$24:$C$31</c:f>
              <c:numCache>
                <c:formatCode>#\ ##0</c:formatCode>
                <c:ptCount val="8"/>
                <c:pt idx="0">
                  <c:v>32851</c:v>
                </c:pt>
                <c:pt idx="1">
                  <c:v>41744</c:v>
                </c:pt>
                <c:pt idx="2">
                  <c:v>45101</c:v>
                </c:pt>
                <c:pt idx="3">
                  <c:v>54877</c:v>
                </c:pt>
                <c:pt idx="4">
                  <c:v>51730</c:v>
                </c:pt>
                <c:pt idx="5">
                  <c:v>61615</c:v>
                </c:pt>
                <c:pt idx="6">
                  <c:v>65615</c:v>
                </c:pt>
                <c:pt idx="7">
                  <c:v>57427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98691328"/>
        <c:axId val="114987008"/>
      </c:barChart>
      <c:catAx>
        <c:axId val="98691328"/>
        <c:scaling>
          <c:orientation val="minMax"/>
        </c:scaling>
        <c:delete val="0"/>
        <c:axPos val="b"/>
        <c:majorTickMark val="out"/>
        <c:minorTickMark val="none"/>
        <c:tickLblPos val="nextTo"/>
        <c:crossAx val="114987008"/>
        <c:crosses val="autoZero"/>
        <c:auto val="1"/>
        <c:lblAlgn val="ctr"/>
        <c:lblOffset val="100"/>
        <c:noMultiLvlLbl val="0"/>
      </c:catAx>
      <c:valAx>
        <c:axId val="114987008"/>
        <c:scaling>
          <c:orientation val="minMax"/>
        </c:scaling>
        <c:delete val="0"/>
        <c:axPos val="l"/>
        <c:majorGridlines/>
        <c:numFmt formatCode="#\ ##0" sourceLinked="1"/>
        <c:majorTickMark val="out"/>
        <c:minorTickMark val="none"/>
        <c:tickLblPos val="nextTo"/>
        <c:crossAx val="98691328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Vlčej</dc:creator>
  <cp:lastModifiedBy>Zuzana Lovíšková</cp:lastModifiedBy>
  <cp:revision>2</cp:revision>
  <dcterms:created xsi:type="dcterms:W3CDTF">2014-09-19T08:53:00Z</dcterms:created>
  <dcterms:modified xsi:type="dcterms:W3CDTF">2014-09-19T08:53:00Z</dcterms:modified>
</cp:coreProperties>
</file>